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53856">
      <w:pPr>
        <w:spacing w:before="468" w:beforeLines="150" w:after="240" w:line="520" w:lineRule="exact"/>
        <w:jc w:val="center"/>
        <w:rPr>
          <w:rFonts w:ascii="华文中宋" w:hAnsi="华文中宋" w:eastAsia="华文中宋"/>
          <w:b/>
          <w:bCs/>
          <w:sz w:val="36"/>
          <w:szCs w:val="36"/>
        </w:rPr>
      </w:pPr>
      <w:bookmarkStart w:id="0" w:name="OLE_LINK1"/>
      <w:bookmarkStart w:id="9" w:name="_GoBack"/>
      <w:r>
        <w:rPr>
          <w:rFonts w:hint="eastAsia" w:ascii="华文中宋" w:hAnsi="华文中宋" w:eastAsia="华文中宋"/>
          <w:b/>
          <w:bCs/>
          <w:sz w:val="36"/>
          <w:szCs w:val="36"/>
        </w:rPr>
        <w:t>上海交通大学环境科学与工程学院可持续发展特班实施方案（试行）</w:t>
      </w:r>
      <w:bookmarkEnd w:id="9"/>
    </w:p>
    <w:bookmarkEnd w:id="0"/>
    <w:p w14:paraId="68C47182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面向</w:t>
      </w:r>
      <w:bookmarkStart w:id="1" w:name="OLE_LINK4"/>
      <w:r>
        <w:rPr>
          <w:rFonts w:ascii="仿宋_GB2312" w:eastAsia="仿宋_GB2312"/>
          <w:sz w:val="30"/>
          <w:szCs w:val="30"/>
        </w:rPr>
        <w:t>国家生态文明</w:t>
      </w:r>
      <w:r>
        <w:rPr>
          <w:rFonts w:hint="eastAsia" w:ascii="仿宋_GB2312" w:eastAsia="仿宋_GB2312"/>
          <w:sz w:val="30"/>
          <w:szCs w:val="30"/>
        </w:rPr>
        <w:t>和</w:t>
      </w:r>
      <w:r>
        <w:rPr>
          <w:rFonts w:ascii="仿宋_GB2312" w:eastAsia="仿宋_GB2312"/>
          <w:sz w:val="30"/>
          <w:szCs w:val="30"/>
        </w:rPr>
        <w:t>美丽中国建设战略</w:t>
      </w:r>
      <w:r>
        <w:rPr>
          <w:rFonts w:hint="eastAsia" w:ascii="仿宋_GB2312" w:eastAsia="仿宋_GB2312"/>
          <w:sz w:val="30"/>
          <w:szCs w:val="30"/>
        </w:rPr>
        <w:t>以及社会</w:t>
      </w:r>
      <w:r>
        <w:rPr>
          <w:rFonts w:ascii="仿宋_GB2312" w:eastAsia="仿宋_GB2312"/>
          <w:sz w:val="30"/>
          <w:szCs w:val="30"/>
        </w:rPr>
        <w:t>可持续发展</w:t>
      </w:r>
      <w:bookmarkEnd w:id="1"/>
      <w:r>
        <w:rPr>
          <w:rFonts w:ascii="仿宋_GB2312" w:eastAsia="仿宋_GB2312"/>
          <w:sz w:val="30"/>
          <w:szCs w:val="30"/>
        </w:rPr>
        <w:t>要求，依托环境科学与工程学科试点设立</w:t>
      </w:r>
      <w:r>
        <w:rPr>
          <w:rFonts w:hint="eastAsia" w:ascii="仿宋_GB2312" w:eastAsia="仿宋_GB2312"/>
          <w:sz w:val="30"/>
          <w:szCs w:val="30"/>
        </w:rPr>
        <w:t>“</w:t>
      </w:r>
      <w:r>
        <w:rPr>
          <w:rFonts w:ascii="仿宋_GB2312" w:eastAsia="仿宋_GB2312"/>
          <w:sz w:val="30"/>
          <w:szCs w:val="30"/>
        </w:rPr>
        <w:t>本博</w:t>
      </w:r>
      <w:r>
        <w:rPr>
          <w:rFonts w:hint="eastAsia" w:ascii="仿宋_GB2312" w:eastAsia="仿宋_GB2312"/>
          <w:sz w:val="30"/>
          <w:szCs w:val="30"/>
        </w:rPr>
        <w:t>”</w:t>
      </w:r>
      <w:r>
        <w:rPr>
          <w:rFonts w:ascii="仿宋_GB2312" w:eastAsia="仿宋_GB2312"/>
          <w:sz w:val="30"/>
          <w:szCs w:val="30"/>
        </w:rPr>
        <w:t>融通培养特</w:t>
      </w:r>
      <w:r>
        <w:rPr>
          <w:rFonts w:hint="eastAsia" w:ascii="仿宋_GB2312" w:eastAsia="仿宋_GB2312"/>
          <w:sz w:val="30"/>
          <w:szCs w:val="30"/>
        </w:rPr>
        <w:t>色</w:t>
      </w:r>
      <w:r>
        <w:rPr>
          <w:rFonts w:ascii="仿宋_GB2312" w:eastAsia="仿宋_GB2312"/>
          <w:sz w:val="30"/>
          <w:szCs w:val="30"/>
        </w:rPr>
        <w:t>班</w:t>
      </w:r>
      <w:r>
        <w:rPr>
          <w:rFonts w:hint="eastAsia" w:ascii="仿宋_GB2312" w:eastAsia="仿宋_GB2312"/>
          <w:sz w:val="30"/>
          <w:szCs w:val="30"/>
        </w:rPr>
        <w:t>（以下简称“特班”）</w:t>
      </w:r>
      <w:r>
        <w:rPr>
          <w:rFonts w:ascii="仿宋_GB2312" w:eastAsia="仿宋_GB2312"/>
          <w:sz w:val="30"/>
          <w:szCs w:val="30"/>
        </w:rPr>
        <w:t>，探索拔尖创新人才选拔培养新机制、优化全流程育人环节，培育具备可持续发展系统思维与跨学科解决</w:t>
      </w:r>
      <w:r>
        <w:rPr>
          <w:rFonts w:hint="eastAsia" w:ascii="仿宋_GB2312" w:eastAsia="仿宋_GB2312"/>
          <w:sz w:val="30"/>
          <w:szCs w:val="30"/>
        </w:rPr>
        <w:t>问题</w:t>
      </w:r>
      <w:r>
        <w:rPr>
          <w:rFonts w:ascii="仿宋_GB2312" w:eastAsia="仿宋_GB2312"/>
          <w:sz w:val="30"/>
          <w:szCs w:val="30"/>
        </w:rPr>
        <w:t>能力的</w:t>
      </w:r>
      <w:bookmarkStart w:id="2" w:name="_Hlk215817618"/>
      <w:r>
        <w:rPr>
          <w:rFonts w:ascii="仿宋_GB2312" w:eastAsia="仿宋_GB2312"/>
          <w:sz w:val="30"/>
          <w:szCs w:val="30"/>
        </w:rPr>
        <w:t>新型领军人才</w:t>
      </w:r>
      <w:bookmarkEnd w:id="2"/>
      <w:r>
        <w:rPr>
          <w:rFonts w:ascii="仿宋_GB2312" w:eastAsia="仿宋_GB2312"/>
          <w:sz w:val="30"/>
          <w:szCs w:val="30"/>
        </w:rPr>
        <w:t>。</w:t>
      </w:r>
    </w:p>
    <w:p w14:paraId="5DB97974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特班立足国家</w:t>
      </w:r>
      <w:r>
        <w:rPr>
          <w:rFonts w:hint="eastAsia" w:ascii="仿宋_GB2312" w:eastAsia="仿宋_GB2312"/>
          <w:sz w:val="30"/>
          <w:szCs w:val="30"/>
        </w:rPr>
        <w:t>“</w:t>
      </w:r>
      <w:r>
        <w:rPr>
          <w:rFonts w:ascii="仿宋_GB2312" w:eastAsia="仿宋_GB2312"/>
          <w:sz w:val="30"/>
          <w:szCs w:val="30"/>
        </w:rPr>
        <w:t>双碳</w:t>
      </w:r>
      <w:r>
        <w:rPr>
          <w:rFonts w:hint="eastAsia" w:ascii="仿宋_GB2312" w:eastAsia="仿宋_GB2312"/>
          <w:sz w:val="30"/>
          <w:szCs w:val="30"/>
        </w:rPr>
        <w:t>”</w:t>
      </w:r>
      <w:r>
        <w:rPr>
          <w:rFonts w:ascii="仿宋_GB2312" w:eastAsia="仿宋_GB2312"/>
          <w:sz w:val="30"/>
          <w:szCs w:val="30"/>
        </w:rPr>
        <w:t>战略与</w:t>
      </w:r>
      <w:bookmarkStart w:id="3" w:name="OLE_LINK3"/>
      <w:bookmarkStart w:id="4" w:name="OLE_LINK2"/>
      <w:r>
        <w:rPr>
          <w:rFonts w:ascii="仿宋_GB2312" w:eastAsia="仿宋_GB2312"/>
          <w:sz w:val="30"/>
          <w:szCs w:val="30"/>
        </w:rPr>
        <w:t>联合国可持续发展目标</w:t>
      </w:r>
      <w:bookmarkEnd w:id="3"/>
      <w:bookmarkEnd w:id="4"/>
      <w:r>
        <w:rPr>
          <w:rFonts w:hint="eastAsia" w:ascii="仿宋_GB2312" w:eastAsia="仿宋_GB2312"/>
          <w:sz w:val="30"/>
          <w:szCs w:val="30"/>
        </w:rPr>
        <w:t>（</w:t>
      </w:r>
      <w:r>
        <w:rPr>
          <w:rFonts w:ascii="仿宋_GB2312" w:eastAsia="仿宋_GB2312"/>
          <w:sz w:val="30"/>
          <w:szCs w:val="30"/>
        </w:rPr>
        <w:t>SDGs</w:t>
      </w:r>
      <w:r>
        <w:rPr>
          <w:rFonts w:hint="eastAsia" w:ascii="仿宋_GB2312" w:eastAsia="仿宋_GB2312"/>
          <w:sz w:val="30"/>
          <w:szCs w:val="30"/>
        </w:rPr>
        <w:t>）</w:t>
      </w:r>
      <w:r>
        <w:rPr>
          <w:rFonts w:ascii="仿宋_GB2312" w:eastAsia="仿宋_GB2312"/>
          <w:sz w:val="30"/>
          <w:szCs w:val="30"/>
        </w:rPr>
        <w:t>，</w:t>
      </w:r>
      <w:r>
        <w:rPr>
          <w:rFonts w:hint="eastAsia" w:ascii="仿宋_GB2312" w:eastAsia="仿宋_GB2312"/>
          <w:sz w:val="30"/>
          <w:szCs w:val="30"/>
        </w:rPr>
        <w:t>聚焦清洁饮水</w:t>
      </w:r>
      <w:r>
        <w:rPr>
          <w:rFonts w:ascii="仿宋_GB2312" w:eastAsia="仿宋_GB2312"/>
          <w:sz w:val="30"/>
          <w:szCs w:val="30"/>
        </w:rPr>
        <w:t>、</w:t>
      </w:r>
      <w:r>
        <w:rPr>
          <w:rFonts w:hint="eastAsia" w:ascii="仿宋_GB2312" w:eastAsia="仿宋_GB2312"/>
          <w:sz w:val="30"/>
          <w:szCs w:val="30"/>
        </w:rPr>
        <w:t>环境健康、可持续</w:t>
      </w:r>
      <w:r>
        <w:rPr>
          <w:rFonts w:ascii="仿宋_GB2312" w:eastAsia="仿宋_GB2312"/>
          <w:sz w:val="30"/>
          <w:szCs w:val="30"/>
        </w:rPr>
        <w:t>能源、资源</w:t>
      </w:r>
      <w:r>
        <w:rPr>
          <w:rFonts w:hint="eastAsia" w:ascii="仿宋_GB2312" w:eastAsia="仿宋_GB2312"/>
          <w:sz w:val="30"/>
          <w:szCs w:val="30"/>
        </w:rPr>
        <w:t>循环和气候行动</w:t>
      </w:r>
      <w:r>
        <w:rPr>
          <w:rFonts w:ascii="仿宋_GB2312" w:eastAsia="仿宋_GB2312"/>
          <w:sz w:val="30"/>
          <w:szCs w:val="30"/>
        </w:rPr>
        <w:t>等全球性挑战，旨在培养具备深厚学术素养、卓越创新能力与广阔国际视野的高层次人才。依托</w:t>
      </w:r>
      <w:r>
        <w:rPr>
          <w:rFonts w:hint="eastAsia" w:ascii="仿宋_GB2312" w:eastAsia="仿宋_GB2312"/>
          <w:sz w:val="30"/>
          <w:szCs w:val="30"/>
        </w:rPr>
        <w:t>“</w:t>
      </w:r>
      <w:r>
        <w:rPr>
          <w:rFonts w:ascii="仿宋_GB2312" w:eastAsia="仿宋_GB2312"/>
          <w:sz w:val="30"/>
          <w:szCs w:val="30"/>
        </w:rPr>
        <w:t>本博</w:t>
      </w:r>
      <w:r>
        <w:rPr>
          <w:rFonts w:hint="eastAsia" w:ascii="仿宋_GB2312" w:eastAsia="仿宋_GB2312"/>
          <w:sz w:val="30"/>
          <w:szCs w:val="30"/>
        </w:rPr>
        <w:t>”</w:t>
      </w:r>
      <w:r>
        <w:rPr>
          <w:rFonts w:ascii="仿宋_GB2312" w:eastAsia="仿宋_GB2312"/>
          <w:sz w:val="30"/>
          <w:szCs w:val="30"/>
        </w:rPr>
        <w:t>融通培养模式，以</w:t>
      </w:r>
      <w:r>
        <w:rPr>
          <w:rFonts w:hint="eastAsia" w:ascii="仿宋_GB2312" w:eastAsia="仿宋_GB2312"/>
          <w:sz w:val="30"/>
          <w:szCs w:val="30"/>
        </w:rPr>
        <w:t>“</w:t>
      </w:r>
      <w:r>
        <w:rPr>
          <w:rFonts w:ascii="仿宋_GB2312" w:eastAsia="仿宋_GB2312"/>
          <w:sz w:val="30"/>
          <w:szCs w:val="30"/>
        </w:rPr>
        <w:t>强化基础、推动交叉、突出创新</w:t>
      </w:r>
      <w:r>
        <w:rPr>
          <w:rFonts w:hint="eastAsia" w:ascii="仿宋_GB2312" w:eastAsia="仿宋_GB2312"/>
          <w:sz w:val="30"/>
          <w:szCs w:val="30"/>
        </w:rPr>
        <w:t>”</w:t>
      </w:r>
      <w:r>
        <w:rPr>
          <w:rFonts w:ascii="仿宋_GB2312" w:eastAsia="仿宋_GB2312"/>
          <w:sz w:val="30"/>
          <w:szCs w:val="30"/>
        </w:rPr>
        <w:t>为核心，为全球气候治理、美丽中国建设、人类命运共同体构建提供坚实人才支撑。</w:t>
      </w:r>
    </w:p>
    <w:p w14:paraId="5D2FA5C1">
      <w:pPr>
        <w:spacing w:before="156" w:beforeLines="50" w:after="156" w:afterLines="50" w:line="500" w:lineRule="exact"/>
        <w:ind w:firstLine="602" w:firstLineChars="200"/>
        <w:jc w:val="both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一、总则</w:t>
      </w:r>
    </w:p>
    <w:p w14:paraId="229E34BB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目标定位：特班旨在选拔一批志向远大、学术潜力突出、创新意识强烈的优秀学生，通过“本博”融通式培养，为其提供持续稳定的学术支持与环境，使其成长为可持续发展学科领域的未来学术骨干和领军人物。</w:t>
      </w:r>
    </w:p>
    <w:p w14:paraId="7D1BA31C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培养模式：遵循“厚基础、重交叉、强科研、促创新”原则，特班采用“4+4”本博融通培养模式，依托“环境科学与工程”专业，构建一体化培养方案，整合本科、硕士、博士阶段的学习与科研训练，优化课程体系，强化校企导师组指导，突出科研创新能力培养。</w:t>
      </w:r>
    </w:p>
    <w:p w14:paraId="0794985F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动态管理：实行阶段性考核与分流机制，确保培养质量，激发学生潜能。</w:t>
      </w:r>
    </w:p>
    <w:p w14:paraId="01451E83">
      <w:pPr>
        <w:spacing w:before="156" w:beforeLines="50" w:after="156" w:afterLines="50" w:line="500" w:lineRule="exact"/>
        <w:ind w:firstLine="602" w:firstLineChars="200"/>
        <w:jc w:val="both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二、遴选规则</w:t>
      </w:r>
    </w:p>
    <w:p w14:paraId="2A0AB608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（一）遴选原则</w:t>
      </w:r>
    </w:p>
    <w:p w14:paraId="77F62772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坚持“公平、公正、公开”原则，实行“自主申请、择优选拔、动态进出”，注重考察学生的综合素质、学术兴趣、创新潜质和发展潜力。</w:t>
      </w:r>
    </w:p>
    <w:p w14:paraId="6F11ECCC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（二）遴选对象与规模</w:t>
      </w:r>
    </w:p>
    <w:p w14:paraId="1DB64027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对象：一年级优秀本科生。</w:t>
      </w:r>
    </w:p>
    <w:p w14:paraId="73C7DD53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规模：10</w:t>
      </w:r>
      <w:r>
        <w:rPr>
          <w:rFonts w:hint="eastAsia" w:ascii="微软雅黑" w:hAnsi="微软雅黑" w:eastAsia="微软雅黑" w:cs="微软雅黑"/>
          <w:sz w:val="30"/>
          <w:szCs w:val="30"/>
        </w:rPr>
        <w:t>–</w:t>
      </w:r>
      <w:r>
        <w:rPr>
          <w:rFonts w:hint="eastAsia" w:ascii="仿宋_GB2312" w:eastAsia="仿宋_GB2312"/>
          <w:sz w:val="30"/>
          <w:szCs w:val="30"/>
        </w:rPr>
        <w:t>15人。</w:t>
      </w:r>
    </w:p>
    <w:p w14:paraId="1110E0C6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（三）遴选条件</w:t>
      </w:r>
    </w:p>
    <w:p w14:paraId="4F8BCD6B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申请者应同时具备以下基本条件：</w:t>
      </w:r>
    </w:p>
    <w:p w14:paraId="6B131C9E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bookmarkStart w:id="5" w:name="_Hlk215817812"/>
      <w:r>
        <w:rPr>
          <w:rFonts w:hint="eastAsia" w:ascii="仿宋_GB2312" w:eastAsia="仿宋_GB2312"/>
          <w:sz w:val="30"/>
          <w:szCs w:val="30"/>
        </w:rPr>
        <w:t>1、热爱祖国，拥护中国共产党领导，遵纪守法，品行端正，身心健康；</w:t>
      </w:r>
    </w:p>
    <w:p w14:paraId="03EBBC9C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</w:rPr>
        <w:t>、对科学研究有浓厚兴趣，志向远大，具备较强的创新意识和投身学术研究的意愿；</w:t>
      </w:r>
    </w:p>
    <w:p w14:paraId="352D9649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3、学业成绩优异：</w:t>
      </w:r>
    </w:p>
    <w:p w14:paraId="4D71C106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新生选拔：高考成绩突出，或曾获各类竞赛优胜、入选基础学科拔尖学生培养计划等，入学后表现优异；</w:t>
      </w:r>
    </w:p>
    <w:p w14:paraId="43E688A4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bookmarkStart w:id="6" w:name="OLE_LINK7"/>
      <w:bookmarkStart w:id="7" w:name="OLE_LINK6"/>
      <w:r>
        <w:rPr>
          <w:rFonts w:hint="eastAsia" w:ascii="仿宋_GB2312" w:eastAsia="仿宋_GB2312"/>
          <w:sz w:val="30"/>
          <w:szCs w:val="30"/>
        </w:rPr>
        <w:t>在校生选拔：大一学年成绩名列前茅</w:t>
      </w:r>
      <w:bookmarkEnd w:id="6"/>
      <w:bookmarkEnd w:id="7"/>
      <w:r>
        <w:rPr>
          <w:rFonts w:hint="eastAsia" w:ascii="仿宋_GB2312" w:eastAsia="仿宋_GB2312"/>
          <w:sz w:val="30"/>
          <w:szCs w:val="30"/>
        </w:rPr>
        <w:t>，无不及格记录；</w:t>
      </w:r>
    </w:p>
    <w:p w14:paraId="52C8C92A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4、思维活跃，具备较强的自主学习能力、逻辑思维能力和初步科研潜质；</w:t>
      </w:r>
    </w:p>
    <w:p w14:paraId="13920F78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5</w:t>
      </w:r>
      <w:r>
        <w:rPr>
          <w:rFonts w:hint="eastAsia" w:ascii="仿宋_GB2312" w:eastAsia="仿宋_GB2312"/>
          <w:sz w:val="30"/>
          <w:szCs w:val="30"/>
        </w:rPr>
        <w:t>、外语水平良好，具备查阅外文资料和进行国际交流的潜力。</w:t>
      </w:r>
    </w:p>
    <w:bookmarkEnd w:id="5"/>
    <w:p w14:paraId="66F87DD2">
      <w:pPr>
        <w:spacing w:before="156" w:beforeLines="50" w:after="156" w:afterLines="50" w:line="500" w:lineRule="exact"/>
        <w:ind w:firstLine="602" w:firstLineChars="200"/>
        <w:jc w:val="both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（四）遴选程序</w:t>
      </w:r>
    </w:p>
    <w:p w14:paraId="082C92F2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1、发布通知：学院发布选拔通知，明确对象、条件、程序与时间安排；</w:t>
      </w:r>
    </w:p>
    <w:p w14:paraId="4B378063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</w:rPr>
        <w:t>、学生申请：符合条件的学生按时提交申请表、成绩证明、个人陈述（含学术志向与研究兴趣）、专家推荐信（如有）等材料；</w:t>
      </w:r>
    </w:p>
    <w:p w14:paraId="39E26233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3、资格初审：遴选工作组审核材料，确定进入综合考核名单；</w:t>
      </w:r>
    </w:p>
    <w:p w14:paraId="32B6D34F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bookmarkStart w:id="8" w:name="_Hlk215818448"/>
      <w:r>
        <w:rPr>
          <w:rFonts w:ascii="仿宋_GB2312" w:eastAsia="仿宋_GB2312"/>
          <w:sz w:val="30"/>
          <w:szCs w:val="30"/>
        </w:rPr>
        <w:t>4</w:t>
      </w:r>
      <w:r>
        <w:rPr>
          <w:rFonts w:hint="eastAsia" w:ascii="仿宋_GB2312" w:eastAsia="仿宋_GB2312"/>
          <w:sz w:val="30"/>
          <w:szCs w:val="30"/>
        </w:rPr>
        <w:t>、综合考核：由本学科资深教授组成专家组进行面试考核，重点考察学术兴趣、知识基础、科研潜质、创新思维、外语水平、沟通能力和综合素质；</w:t>
      </w:r>
    </w:p>
    <w:p w14:paraId="1A5C569E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5、择优录取：根据综合考核成绩，择优确定拟录取名单；</w:t>
      </w:r>
    </w:p>
    <w:p w14:paraId="521F3AF3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6</w:t>
      </w:r>
      <w:r>
        <w:rPr>
          <w:rFonts w:hint="eastAsia" w:ascii="仿宋_GB2312" w:eastAsia="仿宋_GB2312"/>
          <w:sz w:val="30"/>
          <w:szCs w:val="30"/>
        </w:rPr>
        <w:t>、结果公示：拟录取名单于院内公示，接受师生监督；</w:t>
      </w:r>
    </w:p>
    <w:p w14:paraId="09BDC92D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7</w:t>
      </w:r>
      <w:r>
        <w:rPr>
          <w:rFonts w:hint="eastAsia" w:ascii="仿宋_GB2312" w:eastAsia="仿宋_GB2312"/>
          <w:sz w:val="30"/>
          <w:szCs w:val="30"/>
        </w:rPr>
        <w:t>、正式入选：公示无异议后，报学校审批，正式公布特班学生名单。</w:t>
      </w:r>
    </w:p>
    <w:bookmarkEnd w:id="8"/>
    <w:p w14:paraId="0E7E6D6C">
      <w:pPr>
        <w:spacing w:before="156" w:beforeLines="50" w:after="156" w:afterLines="50" w:line="500" w:lineRule="exact"/>
        <w:ind w:firstLine="602" w:firstLineChars="200"/>
        <w:jc w:val="both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三、配套优惠政策</w:t>
      </w:r>
    </w:p>
    <w:p w14:paraId="4A4A9724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为保障特班学生专注学业与科研，学院提供以下政策与支持：</w:t>
      </w:r>
    </w:p>
    <w:p w14:paraId="3501BEB1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（一）培养过程支持</w:t>
      </w:r>
    </w:p>
    <w:p w14:paraId="7789C42C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1、融通培养保障：通过阶段性考核者，可优先获得免试攻读博士研究生资格；</w:t>
      </w:r>
    </w:p>
    <w:p w14:paraId="78B33D5A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</w:rPr>
        <w:t>、个性化培养方案：定制融合本博阶段的个性化培养计划，允许提前修读研究生课程并认定学分；</w:t>
      </w:r>
    </w:p>
    <w:p w14:paraId="58EC25B8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3</w:t>
      </w:r>
      <w:r>
        <w:rPr>
          <w:rFonts w:hint="eastAsia" w:ascii="仿宋_GB2312" w:eastAsia="仿宋_GB2312"/>
          <w:sz w:val="30"/>
          <w:szCs w:val="30"/>
        </w:rPr>
        <w:t>、双导师制：配备学术造诣深厚、责任心强的博士生导师作为学业导师，以及具有工程实践或行业经验的行业导师，全程指导学习、科研与个人发展规划；</w:t>
      </w:r>
    </w:p>
    <w:p w14:paraId="590F3FAB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4、项目制科研训练：依托各级创新创业训练计划项目、导师负责的重大科研项目等，自主设置问题导向型创新项目，提供科研实践资源；</w:t>
      </w:r>
    </w:p>
    <w:p w14:paraId="7BF73FF1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5</w:t>
      </w:r>
      <w:r>
        <w:rPr>
          <w:rFonts w:hint="eastAsia" w:ascii="仿宋_GB2312" w:eastAsia="仿宋_GB2312"/>
          <w:sz w:val="30"/>
          <w:szCs w:val="30"/>
        </w:rPr>
        <w:t>、交叉培养机制：鼓励跨学科选课与科研，支持参与交叉学科学术活动；</w:t>
      </w:r>
    </w:p>
    <w:p w14:paraId="24CD8B0E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6、国际交流资助：优先推荐和资助赴海外知名高校及研究机构交流访学、参加国际会议、联合培养，以及赴国际组织开展实习实践等。</w:t>
      </w:r>
    </w:p>
    <w:p w14:paraId="3BFB5F60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（二）资源条件支持</w:t>
      </w:r>
    </w:p>
    <w:p w14:paraId="3D16728A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1</w:t>
      </w:r>
      <w:r>
        <w:rPr>
          <w:rFonts w:hint="eastAsia" w:ascii="仿宋_GB2312" w:eastAsia="仿宋_GB2312"/>
          <w:sz w:val="30"/>
          <w:szCs w:val="30"/>
        </w:rPr>
        <w:t>、专项奖学金：在常规奖助学金基础上，设立“融通培养奖学金”，提供专项资助，覆盖本科至博士阶段；</w:t>
      </w:r>
    </w:p>
    <w:p w14:paraId="71C6C6F9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</w:rPr>
        <w:t>、助研助教岗位：优先提供助研、助教岗位，享受相应科研津贴与生活补助；</w:t>
      </w:r>
    </w:p>
    <w:p w14:paraId="3ED5D27F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3</w:t>
      </w:r>
      <w:r>
        <w:rPr>
          <w:rFonts w:hint="eastAsia" w:ascii="仿宋_GB2312" w:eastAsia="仿宋_GB2312"/>
          <w:sz w:val="30"/>
          <w:szCs w:val="30"/>
        </w:rPr>
        <w:t>、优质学习环境：安排专用自习室与研讨室，有组织地开展自习和研讨，营造优良学习与研讨氛围。</w:t>
      </w:r>
    </w:p>
    <w:p w14:paraId="103011F9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（三）管理服务保障</w:t>
      </w:r>
    </w:p>
    <w:p w14:paraId="1DCF4988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1、管理服务：成立特班工作小组，协调培养过程中的问题，提供个性化和一站式服务；</w:t>
      </w:r>
    </w:p>
    <w:p w14:paraId="04E61808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</w:rPr>
        <w:t>、发展支持：定期组织学术沙龙、前沿讲座、生涯指导等活动，拓展学术视野，促进朋辈交流。</w:t>
      </w:r>
    </w:p>
    <w:p w14:paraId="20FD3825">
      <w:pPr>
        <w:spacing w:before="156" w:beforeLines="50" w:after="156" w:afterLines="50" w:line="500" w:lineRule="exact"/>
        <w:ind w:firstLine="602" w:firstLineChars="200"/>
        <w:jc w:val="both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四、分流与退出机制</w:t>
      </w:r>
    </w:p>
    <w:p w14:paraId="540C4BF6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1、阶段性考核：本科毕业、博士资格考试、博士中期考核等关键节点进行考核，内容涵盖学业成绩、科研进展与综合素质；</w:t>
      </w:r>
    </w:p>
    <w:p w14:paraId="13BB21CA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</w:rPr>
        <w:t>、分流路径：</w:t>
      </w:r>
    </w:p>
    <w:p w14:paraId="1E4B7173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通过考核者：进入下一阶段学习；</w:t>
      </w:r>
    </w:p>
    <w:p w14:paraId="35044E27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未通过考核但符合普通培养要求者：可转入同类专业普通班继续学业；</w:t>
      </w:r>
    </w:p>
    <w:p w14:paraId="345847A3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主动退出者：可申请退出并转入普通班；</w:t>
      </w:r>
    </w:p>
    <w:p w14:paraId="3C8B7B08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严重违反学术道德或校纪校规者：立即退出，并按相关规定处理；</w:t>
      </w:r>
    </w:p>
    <w:p w14:paraId="4B1C9A0D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3、退出特班后，不再享受专属优惠政策，已享受待遇一般不予追回。</w:t>
      </w:r>
    </w:p>
    <w:p w14:paraId="22472594">
      <w:pPr>
        <w:spacing w:before="156" w:beforeLines="50" w:after="156" w:afterLines="50" w:line="500" w:lineRule="exact"/>
        <w:ind w:firstLine="602" w:firstLineChars="200"/>
        <w:jc w:val="both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五、附则</w:t>
      </w:r>
    </w:p>
    <w:p w14:paraId="2FD080A3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本方案由环境科学与工程学院教务办公室负责解释。</w:t>
      </w:r>
    </w:p>
    <w:p w14:paraId="12719AD7">
      <w:pPr>
        <w:spacing w:before="156" w:beforeLines="50" w:after="156" w:afterLines="50" w:line="500" w:lineRule="exact"/>
        <w:ind w:firstLine="600" w:firstLineChars="200"/>
        <w:jc w:val="both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本方案自发布之日起试行，并将根据实际情况适时调整。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07584905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5EAA5B02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5FECAF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72"/>
    <w:rsid w:val="00030F74"/>
    <w:rsid w:val="00046D25"/>
    <w:rsid w:val="000B4570"/>
    <w:rsid w:val="001028DF"/>
    <w:rsid w:val="00120E02"/>
    <w:rsid w:val="00131A96"/>
    <w:rsid w:val="00163201"/>
    <w:rsid w:val="001E2EBF"/>
    <w:rsid w:val="001E3760"/>
    <w:rsid w:val="001E6935"/>
    <w:rsid w:val="001F2D74"/>
    <w:rsid w:val="00216A8E"/>
    <w:rsid w:val="00221C02"/>
    <w:rsid w:val="002263D5"/>
    <w:rsid w:val="00255A38"/>
    <w:rsid w:val="002C4553"/>
    <w:rsid w:val="002E755E"/>
    <w:rsid w:val="00324F4A"/>
    <w:rsid w:val="003338F8"/>
    <w:rsid w:val="00350822"/>
    <w:rsid w:val="00374B63"/>
    <w:rsid w:val="003A1568"/>
    <w:rsid w:val="003D6740"/>
    <w:rsid w:val="004034B5"/>
    <w:rsid w:val="004647CE"/>
    <w:rsid w:val="00467262"/>
    <w:rsid w:val="004A474B"/>
    <w:rsid w:val="004D03EC"/>
    <w:rsid w:val="00527752"/>
    <w:rsid w:val="00541422"/>
    <w:rsid w:val="005B3ACF"/>
    <w:rsid w:val="005B6670"/>
    <w:rsid w:val="005C2643"/>
    <w:rsid w:val="006253F5"/>
    <w:rsid w:val="00645709"/>
    <w:rsid w:val="00657749"/>
    <w:rsid w:val="00675349"/>
    <w:rsid w:val="006C5080"/>
    <w:rsid w:val="006F06DA"/>
    <w:rsid w:val="00706FEC"/>
    <w:rsid w:val="0071367F"/>
    <w:rsid w:val="0073582C"/>
    <w:rsid w:val="00736094"/>
    <w:rsid w:val="007520D4"/>
    <w:rsid w:val="00773CC3"/>
    <w:rsid w:val="007A07AC"/>
    <w:rsid w:val="007A463A"/>
    <w:rsid w:val="007B155D"/>
    <w:rsid w:val="007E39ED"/>
    <w:rsid w:val="00806A66"/>
    <w:rsid w:val="00820CED"/>
    <w:rsid w:val="00884E68"/>
    <w:rsid w:val="008A4FDD"/>
    <w:rsid w:val="008B6E85"/>
    <w:rsid w:val="008C133B"/>
    <w:rsid w:val="00930CED"/>
    <w:rsid w:val="0099458C"/>
    <w:rsid w:val="009A2482"/>
    <w:rsid w:val="009B27D1"/>
    <w:rsid w:val="00A010B2"/>
    <w:rsid w:val="00A1144B"/>
    <w:rsid w:val="00A35A24"/>
    <w:rsid w:val="00B1588B"/>
    <w:rsid w:val="00B30303"/>
    <w:rsid w:val="00BB6EB9"/>
    <w:rsid w:val="00C47C36"/>
    <w:rsid w:val="00C75E6E"/>
    <w:rsid w:val="00C85549"/>
    <w:rsid w:val="00CA2B59"/>
    <w:rsid w:val="00CE5A59"/>
    <w:rsid w:val="00CF31D4"/>
    <w:rsid w:val="00CF3C33"/>
    <w:rsid w:val="00D67907"/>
    <w:rsid w:val="00D775E9"/>
    <w:rsid w:val="00DC0A6B"/>
    <w:rsid w:val="00DD7272"/>
    <w:rsid w:val="00E301C6"/>
    <w:rsid w:val="00E450AF"/>
    <w:rsid w:val="00F030B8"/>
    <w:rsid w:val="00F451B5"/>
    <w:rsid w:val="00F50E0A"/>
    <w:rsid w:val="00F52A27"/>
    <w:rsid w:val="00F73476"/>
    <w:rsid w:val="00FD0E72"/>
    <w:rsid w:val="00FD122A"/>
    <w:rsid w:val="00FF674E"/>
    <w:rsid w:val="2F93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1988</Words>
  <Characters>1995</Characters>
  <Lines>14</Lines>
  <Paragraphs>4</Paragraphs>
  <TotalTime>26</TotalTime>
  <ScaleCrop>false</ScaleCrop>
  <LinksUpToDate>false</LinksUpToDate>
  <CharactersWithSpaces>1995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2026-04-15T02:12:00Z</dcterms:created>
  <dc:creator>yzg</dc:creator>
  <cp:lastModifiedBy>何文锐</cp:lastModifiedBy>
  <cp:lastPrinted>2025-12-08T01:47:00Z</cp:lastPrinted>
  <dcterms:modified xsi:type="dcterms:W3CDTF">2026-04-15T03:02:06Z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8729A35E6D83417894317DC7CD18FCD5_13</vt:lpwstr>
  </property>
</Properties>
</file>